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95A54">
      <w:pPr>
        <w:spacing w:after="156" w:afterLines="50" w:line="360" w:lineRule="auto"/>
        <w:ind w:left="360" w:hanging="360" w:hangingChars="100"/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暂停/终止研究报告</w:t>
      </w:r>
    </w:p>
    <w:p w14:paraId="525EA25E">
      <w:pPr>
        <w:ind w:left="180" w:right="2549" w:rightChars="1214" w:hanging="180" w:hangingChars="100"/>
        <w:jc w:val="right"/>
        <w:rPr>
          <w:rFonts w:ascii="宋体" w:hAnsi="宋体"/>
          <w:sz w:val="18"/>
          <w:szCs w:val="18"/>
        </w:rPr>
      </w:pPr>
      <w:commentRangeStart w:id="0"/>
      <w:r>
        <w:rPr>
          <w:rFonts w:hint="eastAsia" w:ascii="宋体" w:hAnsi="宋体"/>
          <w:sz w:val="18"/>
          <w:szCs w:val="18"/>
        </w:rPr>
        <w:t>受理号</w:t>
      </w:r>
      <w:commentRangeEnd w:id="0"/>
      <w:r>
        <w:commentReference w:id="0"/>
      </w:r>
      <w:r>
        <w:rPr>
          <w:rFonts w:hint="eastAsia" w:ascii="宋体" w:hAnsi="宋体"/>
          <w:sz w:val="18"/>
          <w:szCs w:val="18"/>
        </w:rPr>
        <w:t>：</w:t>
      </w:r>
    </w:p>
    <w:tbl>
      <w:tblPr>
        <w:tblStyle w:val="9"/>
        <w:tblW w:w="8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992"/>
        <w:gridCol w:w="992"/>
        <w:gridCol w:w="1134"/>
        <w:gridCol w:w="2145"/>
        <w:gridCol w:w="2147"/>
      </w:tblGrid>
      <w:tr w14:paraId="2826C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68" w:type="dxa"/>
            <w:gridSpan w:val="2"/>
          </w:tcPr>
          <w:p w14:paraId="419FF038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6418" w:type="dxa"/>
            <w:gridSpan w:val="4"/>
          </w:tcPr>
          <w:p w14:paraId="31AD20AF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1E039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68" w:type="dxa"/>
            <w:gridSpan w:val="2"/>
          </w:tcPr>
          <w:p w14:paraId="08CF8D96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申办单位</w:t>
            </w:r>
          </w:p>
        </w:tc>
        <w:tc>
          <w:tcPr>
            <w:tcW w:w="6418" w:type="dxa"/>
            <w:gridSpan w:val="4"/>
          </w:tcPr>
          <w:p w14:paraId="5C30569E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5CA4C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68" w:type="dxa"/>
            <w:gridSpan w:val="2"/>
          </w:tcPr>
          <w:p w14:paraId="05B69731">
            <w:pPr>
              <w:spacing w:line="360" w:lineRule="auto"/>
              <w:jc w:val="center"/>
              <w:rPr>
                <w:rFonts w:ascii="宋体" w:hAnsi="宋体"/>
              </w:rPr>
            </w:pPr>
            <w:commentRangeStart w:id="1"/>
            <w:r>
              <w:rPr>
                <w:rFonts w:hint="eastAsia" w:ascii="宋体" w:hAnsi="宋体"/>
              </w:rPr>
              <w:t>方案版本号</w:t>
            </w:r>
            <w:commentRangeEnd w:id="1"/>
            <w:r>
              <w:commentReference w:id="1"/>
            </w:r>
          </w:p>
        </w:tc>
        <w:tc>
          <w:tcPr>
            <w:tcW w:w="2126" w:type="dxa"/>
            <w:gridSpan w:val="2"/>
          </w:tcPr>
          <w:p w14:paraId="2F60187E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5" w:type="dxa"/>
          </w:tcPr>
          <w:p w14:paraId="19E5C8EA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方案版本日期</w:t>
            </w:r>
          </w:p>
        </w:tc>
        <w:tc>
          <w:tcPr>
            <w:tcW w:w="2147" w:type="dxa"/>
          </w:tcPr>
          <w:p w14:paraId="1CE4FEC1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2D6E9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2168" w:type="dxa"/>
            <w:gridSpan w:val="2"/>
          </w:tcPr>
          <w:p w14:paraId="58C76D02">
            <w:pPr>
              <w:spacing w:line="360" w:lineRule="auto"/>
              <w:jc w:val="center"/>
              <w:rPr>
                <w:rFonts w:ascii="宋体" w:hAnsi="宋体"/>
              </w:rPr>
            </w:pPr>
            <w:commentRangeStart w:id="2"/>
            <w:r>
              <w:rPr>
                <w:rFonts w:hint="eastAsia" w:ascii="宋体" w:hAnsi="宋体"/>
              </w:rPr>
              <w:t>知情同意书版本号</w:t>
            </w:r>
            <w:commentRangeEnd w:id="2"/>
            <w:r>
              <w:commentReference w:id="2"/>
            </w:r>
          </w:p>
        </w:tc>
        <w:tc>
          <w:tcPr>
            <w:tcW w:w="2126" w:type="dxa"/>
            <w:gridSpan w:val="2"/>
          </w:tcPr>
          <w:p w14:paraId="5EA8E803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5" w:type="dxa"/>
          </w:tcPr>
          <w:p w14:paraId="566015BB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知情同意书版本日期</w:t>
            </w:r>
          </w:p>
        </w:tc>
        <w:tc>
          <w:tcPr>
            <w:tcW w:w="2147" w:type="dxa"/>
          </w:tcPr>
          <w:p w14:paraId="45B9D71C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07C40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68" w:type="dxa"/>
            <w:gridSpan w:val="2"/>
          </w:tcPr>
          <w:p w14:paraId="4826AA53">
            <w:pPr>
              <w:spacing w:line="360" w:lineRule="auto"/>
              <w:jc w:val="center"/>
              <w:rPr>
                <w:rFonts w:ascii="宋体" w:hAnsi="宋体"/>
              </w:rPr>
            </w:pPr>
            <w:commentRangeStart w:id="3"/>
            <w:r>
              <w:rPr>
                <w:rFonts w:hint="eastAsia" w:ascii="宋体" w:hAnsi="宋体"/>
              </w:rPr>
              <w:t>伦理审查意见号</w:t>
            </w:r>
            <w:commentRangeEnd w:id="3"/>
            <w:r>
              <w:commentReference w:id="3"/>
            </w:r>
          </w:p>
        </w:tc>
        <w:tc>
          <w:tcPr>
            <w:tcW w:w="2126" w:type="dxa"/>
            <w:gridSpan w:val="2"/>
          </w:tcPr>
          <w:p w14:paraId="7A7453B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2145" w:type="dxa"/>
          </w:tcPr>
          <w:p w14:paraId="6D8A844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主要研究者</w:t>
            </w:r>
          </w:p>
        </w:tc>
        <w:tc>
          <w:tcPr>
            <w:tcW w:w="2147" w:type="dxa"/>
          </w:tcPr>
          <w:p w14:paraId="4996F6A0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4FCB8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8586" w:type="dxa"/>
            <w:gridSpan w:val="6"/>
          </w:tcPr>
          <w:p w14:paraId="41A7DA49"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一、一般信息</w:t>
            </w:r>
          </w:p>
        </w:tc>
      </w:tr>
      <w:tr w14:paraId="405EE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8586" w:type="dxa"/>
            <w:gridSpan w:val="6"/>
          </w:tcPr>
          <w:p w14:paraId="526512BA">
            <w:pPr>
              <w:spacing w:line="360" w:lineRule="auto"/>
              <w:ind w:left="211" w:hanging="211" w:hangingChars="1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1、提出人</w:t>
            </w:r>
          </w:p>
        </w:tc>
      </w:tr>
      <w:tr w14:paraId="46A53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176" w:type="dxa"/>
          </w:tcPr>
          <w:p w14:paraId="6462CE8D">
            <w:pPr>
              <w:spacing w:line="360" w:lineRule="auto"/>
              <w:ind w:left="210" w:hanging="210" w:hangingChars="100"/>
              <w:jc w:val="center"/>
              <w:rPr>
                <w:rFonts w:hint="eastAsia" w:ascii="宋体" w:hAnsi="宋体" w:eastAsia="宋体"/>
                <w:lang w:eastAsia="zh-CN"/>
              </w:rPr>
            </w:pP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0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7410" w:type="dxa"/>
            <w:gridSpan w:val="5"/>
          </w:tcPr>
          <w:p w14:paraId="0F601AAB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申办者提出：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暂停研究，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终止研究</w:t>
            </w:r>
          </w:p>
        </w:tc>
      </w:tr>
      <w:tr w14:paraId="118E6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176" w:type="dxa"/>
          </w:tcPr>
          <w:p w14:paraId="677E20DA">
            <w:pPr>
              <w:spacing w:line="360" w:lineRule="auto"/>
              <w:ind w:left="210" w:hanging="210" w:hangingChars="100"/>
              <w:jc w:val="center"/>
              <w:rPr>
                <w:rFonts w:hint="eastAsia" w:ascii="宋体" w:hAnsi="宋体" w:eastAsia="宋体"/>
                <w:lang w:eastAsia="zh-CN"/>
              </w:rPr>
            </w:pP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6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7410" w:type="dxa"/>
            <w:gridSpan w:val="5"/>
          </w:tcPr>
          <w:p w14:paraId="115100E3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研究者提出：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9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暂停研究，</w:t>
            </w:r>
            <w:r>
              <w:rPr>
                <w:rFonts w:ascii="宋体" w:hAnsi="宋体"/>
              </w:rPr>
              <w:t xml:space="preserve"> 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80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终止研究</w:t>
            </w:r>
          </w:p>
        </w:tc>
      </w:tr>
      <w:tr w14:paraId="003D9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8586" w:type="dxa"/>
            <w:gridSpan w:val="6"/>
          </w:tcPr>
          <w:p w14:paraId="22181661">
            <w:pPr>
              <w:spacing w:line="360" w:lineRule="auto"/>
              <w:ind w:left="210" w:hanging="210" w:hangingChars="10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2、</w:t>
            </w:r>
            <w:r>
              <w:rPr>
                <w:rFonts w:hint="eastAsia"/>
              </w:rPr>
              <w:t>暂停终止情况</w:t>
            </w:r>
            <w:bookmarkStart w:id="0" w:name="_GoBack"/>
            <w:bookmarkEnd w:id="0"/>
          </w:p>
        </w:tc>
      </w:tr>
      <w:tr w14:paraId="550D9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176" w:type="dxa"/>
          </w:tcPr>
          <w:p w14:paraId="61E435E5">
            <w:pPr>
              <w:spacing w:line="360" w:lineRule="auto"/>
              <w:jc w:val="center"/>
              <w:rPr>
                <w:rFonts w:ascii="宋体" w:hAnsi="宋体"/>
              </w:rPr>
            </w:pP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2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7410" w:type="dxa"/>
            <w:gridSpan w:val="5"/>
          </w:tcPr>
          <w:p w14:paraId="477E0C01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停止纳入新的受试者，在研的受试者继续完成研究干预的随访</w:t>
            </w:r>
          </w:p>
        </w:tc>
      </w:tr>
      <w:tr w14:paraId="7BDF1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176" w:type="dxa"/>
          </w:tcPr>
          <w:p w14:paraId="683958C7">
            <w:pPr>
              <w:spacing w:line="360" w:lineRule="auto"/>
              <w:jc w:val="center"/>
              <w:rPr>
                <w:rFonts w:ascii="宋体" w:hAnsi="宋体"/>
              </w:rPr>
            </w:pP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9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7410" w:type="dxa"/>
            <w:gridSpan w:val="5"/>
          </w:tcPr>
          <w:p w14:paraId="59EFBB7A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停止研究相关的干预，研究仅是对受试者的跟踪随访</w:t>
            </w:r>
          </w:p>
        </w:tc>
      </w:tr>
      <w:tr w14:paraId="4711D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176" w:type="dxa"/>
          </w:tcPr>
          <w:p w14:paraId="568DFE36">
            <w:pPr>
              <w:spacing w:line="360" w:lineRule="auto"/>
              <w:jc w:val="center"/>
              <w:rPr>
                <w:rFonts w:ascii="宋体" w:hAnsi="宋体"/>
              </w:rPr>
            </w:pP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5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</w:p>
        </w:tc>
        <w:tc>
          <w:tcPr>
            <w:tcW w:w="7410" w:type="dxa"/>
            <w:gridSpan w:val="5"/>
          </w:tcPr>
          <w:p w14:paraId="6AAF6846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（本中心）没有受试者入组，且未发现额外风险</w:t>
            </w:r>
          </w:p>
        </w:tc>
      </w:tr>
      <w:tr w14:paraId="4DCA5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586" w:type="dxa"/>
            <w:gridSpan w:val="6"/>
          </w:tcPr>
          <w:p w14:paraId="69D078AE"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二、受试者信息</w:t>
            </w:r>
          </w:p>
          <w:p w14:paraId="72AC3526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·合同研究总例数：</w:t>
            </w:r>
          </w:p>
          <w:p w14:paraId="49BF658B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·已入组例数：</w:t>
            </w:r>
          </w:p>
          <w:p w14:paraId="1478CDA9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·完成观察例数：</w:t>
            </w:r>
          </w:p>
          <w:p w14:paraId="6D09E66E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·提前退出例数：</w:t>
            </w:r>
          </w:p>
          <w:p w14:paraId="79014B1E">
            <w:pPr>
              <w:spacing w:line="360" w:lineRule="auto"/>
              <w:ind w:left="210" w:hanging="210" w:hangingChars="10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·是否通知受试者终止或暂停研究的事项：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6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否，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5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是</w:t>
            </w:r>
            <w:r>
              <w:rPr>
                <w:rFonts w:hint="eastAsia" w:ascii="宋体" w:hAnsi="宋体"/>
                <w:lang w:eastAsia="zh-CN"/>
              </w:rPr>
              <w:t>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7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lang w:eastAsia="zh-CN"/>
              </w:rPr>
              <w:t>不适用</w:t>
            </w:r>
          </w:p>
          <w:p w14:paraId="5CD907AA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·通知的对象：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已入组的全部受试者，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5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仅在研的受试者</w:t>
            </w:r>
          </w:p>
        </w:tc>
      </w:tr>
      <w:tr w14:paraId="5B43E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8586" w:type="dxa"/>
            <w:gridSpan w:val="6"/>
          </w:tcPr>
          <w:p w14:paraId="4D3FC630"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三、暂停/终止研究的原因（可附件）</w:t>
            </w:r>
          </w:p>
          <w:p w14:paraId="6AE5308D">
            <w:pPr>
              <w:spacing w:line="360" w:lineRule="auto"/>
              <w:rPr>
                <w:rFonts w:ascii="宋体" w:hAnsi="宋体"/>
              </w:rPr>
            </w:pPr>
          </w:p>
          <w:p w14:paraId="5701AC0D">
            <w:pPr>
              <w:spacing w:line="360" w:lineRule="auto"/>
              <w:rPr>
                <w:rFonts w:ascii="宋体" w:hAnsi="宋体"/>
              </w:rPr>
            </w:pPr>
          </w:p>
        </w:tc>
      </w:tr>
      <w:tr w14:paraId="136E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8" w:hRule="atLeast"/>
          <w:jc w:val="center"/>
        </w:trPr>
        <w:tc>
          <w:tcPr>
            <w:tcW w:w="8586" w:type="dxa"/>
            <w:gridSpan w:val="6"/>
          </w:tcPr>
          <w:p w14:paraId="12579107"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四、有序暂停/终止研究的程序</w:t>
            </w:r>
          </w:p>
          <w:p w14:paraId="035945A2">
            <w:pPr>
              <w:spacing w:line="360" w:lineRule="auto"/>
              <w:ind w:left="210" w:hanging="211" w:hangingChars="100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1、安全监测对象</w:t>
            </w:r>
          </w:p>
          <w:p w14:paraId="122053E6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3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已入组的全部受试者，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80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仅在研的受试者，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71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无需安排退出程序的安全监测</w:t>
            </w:r>
          </w:p>
          <w:p w14:paraId="599E5652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安全性监测的指标与频率：</w:t>
            </w:r>
          </w:p>
          <w:p w14:paraId="77D4E13F">
            <w:pPr>
              <w:spacing w:line="360" w:lineRule="auto"/>
              <w:ind w:left="210" w:hanging="210" w:hangingChars="100"/>
              <w:rPr>
                <w:rFonts w:ascii="宋体" w:hAnsi="宋体"/>
              </w:rPr>
            </w:pPr>
          </w:p>
        </w:tc>
      </w:tr>
      <w:tr w14:paraId="017E9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586" w:type="dxa"/>
            <w:gridSpan w:val="6"/>
          </w:tcPr>
          <w:p w14:paraId="6EC7319D"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2、受试者退出研究后的医疗安排（可附件</w:t>
            </w:r>
            <w:r>
              <w:rPr>
                <w:rFonts w:hint="eastAsia" w:ascii="宋体" w:hAnsi="宋体"/>
                <w:b/>
                <w:lang w:eastAsia="zh-CN"/>
              </w:rPr>
              <w:t>，若无需安排填写“无”）</w:t>
            </w:r>
          </w:p>
          <w:p w14:paraId="5C39FB39"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</w:p>
          <w:p w14:paraId="1C7D03A7">
            <w:pPr>
              <w:spacing w:line="360" w:lineRule="auto"/>
              <w:ind w:left="211" w:hanging="211" w:hangingChars="100"/>
              <w:rPr>
                <w:rFonts w:ascii="宋体" w:hAnsi="宋体"/>
                <w:b/>
              </w:rPr>
            </w:pPr>
          </w:p>
        </w:tc>
      </w:tr>
      <w:tr w14:paraId="30622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8586" w:type="dxa"/>
            <w:gridSpan w:val="6"/>
          </w:tcPr>
          <w:p w14:paraId="171C34DD">
            <w:pPr>
              <w:spacing w:line="360" w:lineRule="auto"/>
              <w:ind w:left="211" w:hanging="211" w:hangingChars="100"/>
              <w:rPr>
                <w:rFonts w:hint="eastAsia" w:ascii="宋体" w:hAnsi="宋体" w:eastAsia="宋体"/>
                <w:b/>
                <w:lang w:eastAsia="zh-CN"/>
              </w:rPr>
            </w:pPr>
            <w:r>
              <w:rPr>
                <w:rFonts w:hint="eastAsia" w:ascii="宋体" w:hAnsi="宋体"/>
                <w:b/>
              </w:rPr>
              <w:t>3、继续完成研究干预的受试者，后续的其他安排</w:t>
            </w:r>
          </w:p>
          <w:p w14:paraId="03B17BB1">
            <w:pPr>
              <w:spacing w:line="360" w:lineRule="auto"/>
              <w:ind w:left="210" w:hanging="210" w:hangingChars="10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是否重新获得受试者继续参加研究的知情同意：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83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是，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否，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2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lang w:eastAsia="zh-CN"/>
              </w:rPr>
              <w:t>不适用</w:t>
            </w:r>
          </w:p>
          <w:p w14:paraId="1E06F246">
            <w:pPr>
              <w:spacing w:line="360" w:lineRule="auto"/>
              <w:ind w:left="210" w:hanging="210" w:hangingChars="10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是否将受试者转给其他研究人员，在独立的监督下继续研究：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66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是，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82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</w:rPr>
              <w:t>否，</w:t>
            </w:r>
            <w:sdt>
              <w:sdt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  <w:id w:val="147454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宋体" w:hAnsi="宋体" w:eastAsia="宋体" w:cs="Times New Roman"/>
                  <w:kern w:val="2"/>
                  <w:sz w:val="21"/>
                  <w:szCs w:val="21"/>
                  <w:lang w:val="en-US" w:eastAsia="zh-CN" w:bidi="ar-SA"/>
                </w:rPr>
              </w:sdtEndPr>
              <w:sdtContent>
                <w:r>
                  <w:rPr>
                    <w:rFonts w:ascii="MS Gothic" w:hAnsi="MS Gothic" w:eastAsia="宋体" w:cs="Times New Roman"/>
                    <w:kern w:val="2"/>
                    <w:sz w:val="21"/>
                    <w:szCs w:val="24"/>
                    <w:lang w:val="en-US" w:eastAsia="zh-CN" w:bidi="ar-SA"/>
                  </w:rPr>
                  <w:t>☐</w:t>
                </w:r>
              </w:sdtContent>
            </w:sdt>
            <w:r>
              <w:rPr>
                <w:rFonts w:hint="eastAsia" w:ascii="宋体" w:hAnsi="宋体"/>
                <w:lang w:eastAsia="zh-CN"/>
              </w:rPr>
              <w:t>不适用</w:t>
            </w:r>
          </w:p>
          <w:p w14:paraId="07D883DC">
            <w:pPr>
              <w:spacing w:line="360" w:lineRule="auto"/>
              <w:ind w:left="210" w:hanging="210" w:hangingChars="100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</w:rPr>
              <w:t>其他后续安排：</w:t>
            </w:r>
          </w:p>
        </w:tc>
      </w:tr>
      <w:tr w14:paraId="2413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0" w:type="dxa"/>
            <w:gridSpan w:val="3"/>
          </w:tcPr>
          <w:p w14:paraId="22F51B2C">
            <w:pPr>
              <w:spacing w:before="156" w:beforeLines="50" w:after="156" w:afterLines="50" w:line="360" w:lineRule="auto"/>
              <w:rPr>
                <w:rFonts w:ascii="宋体" w:hAnsi="宋体"/>
                <w:b/>
              </w:rPr>
            </w:pPr>
            <w:commentRangeStart w:id="4"/>
            <w:r>
              <w:rPr>
                <w:rFonts w:hint="eastAsia" w:ascii="宋体" w:hAnsi="宋体"/>
                <w:b/>
              </w:rPr>
              <w:t>研究者签字</w:t>
            </w:r>
            <w:r>
              <w:rPr>
                <w:rFonts w:ascii="宋体" w:hAnsi="宋体"/>
                <w:b/>
              </w:rPr>
              <w:t>:</w:t>
            </w:r>
            <w:commentRangeEnd w:id="4"/>
            <w:r>
              <w:commentReference w:id="4"/>
            </w:r>
          </w:p>
        </w:tc>
        <w:tc>
          <w:tcPr>
            <w:tcW w:w="5426" w:type="dxa"/>
            <w:gridSpan w:val="3"/>
          </w:tcPr>
          <w:p w14:paraId="6B05840B">
            <w:pPr>
              <w:spacing w:before="156" w:beforeLines="50" w:after="156" w:afterLines="50" w:line="360" w:lineRule="auto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日期:</w:t>
            </w:r>
          </w:p>
        </w:tc>
      </w:tr>
    </w:tbl>
    <w:p w14:paraId="78D85BDB">
      <w:pPr>
        <w:rPr>
          <w:bCs/>
          <w:sz w:val="24"/>
        </w:rPr>
      </w:pPr>
    </w:p>
    <w:sectPr>
      <w:footerReference r:id="rId7" w:type="first"/>
      <w:headerReference r:id="rId5" w:type="default"/>
      <w:footerReference r:id="rId6" w:type="default"/>
      <w:pgSz w:w="11906" w:h="16838"/>
      <w:pgMar w:top="1134" w:right="1134" w:bottom="1134" w:left="1701" w:header="454" w:footer="567" w:gutter="0"/>
      <w:pgNumType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3-03-14T11:12:08Z" w:initials="A">
    <w:p w14:paraId="4F264EA0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由伦理办公室填写</w:t>
      </w:r>
    </w:p>
  </w:comment>
  <w:comment w:id="1" w:author="Administrator" w:date="2023-03-14T11:12:17Z" w:initials="A">
    <w:p w14:paraId="08FE3F46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填写最后一次伦理批准的方案版本号</w:t>
      </w:r>
    </w:p>
  </w:comment>
  <w:comment w:id="2" w:author="Administrator" w:date="2023-03-14T11:12:37Z" w:initials="A">
    <w:p w14:paraId="77524FF9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填写最后一次伦理批准的知情同意书版本号</w:t>
      </w:r>
    </w:p>
  </w:comment>
  <w:comment w:id="3" w:author="Administrator" w:date="2023-03-14T11:12:55Z" w:initials="A">
    <w:p w14:paraId="3C2A125D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填写最近一次伦理审查意见号</w:t>
      </w:r>
    </w:p>
  </w:comment>
  <w:comment w:id="4" w:author="Administrator" w:date="2023-03-14T11:13:08Z" w:initials="A">
    <w:p w14:paraId="7F710368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建议签字前将电子版文件发伦理秘书审核后再签字交伦理办公室，以免填写错误导致反复修改</w:t>
      </w:r>
    </w:p>
    <w:p w14:paraId="6A9976FC">
      <w:pPr>
        <w:pStyle w:val="3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F264EA0" w15:done="0"/>
  <w15:commentEx w15:paraId="08FE3F46" w15:done="0"/>
  <w15:commentEx w15:paraId="77524FF9" w15:done="0"/>
  <w15:commentEx w15:paraId="3C2A125D" w15:done="0"/>
  <w15:commentEx w15:paraId="6A9976F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1" w:fontKey="{BF6A6D25-D1F1-4C12-B02B-60AF92D5F193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D61D0ABB-54BB-4A9C-9B12-70662644B7E5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  <w:embedRegular r:id="rId3" w:fontKey="{B446BA6E-7917-4CC9-8600-69E5D99D06B0}"/>
  </w:font>
  <w:font w:name="WPSEMBED1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WPSEMBED2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  <w:embedRegular r:id="rId4" w:fontKey="{9C64E895-1A6C-45B6-BEB2-20651F0763A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59498"/>
      <w:docPartObj>
        <w:docPartGallery w:val="autotext"/>
      </w:docPartObj>
    </w:sdtPr>
    <w:sdtContent>
      <w:p w14:paraId="440DC520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5C23EE17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05775">
    <w:pPr>
      <w:pStyle w:val="6"/>
      <w:jc w:val="center"/>
    </w:pPr>
    <w:r>
      <w:rPr>
        <w:rFonts w:hint="eastAsia"/>
      </w:rPr>
      <w:t>1</w:t>
    </w:r>
  </w:p>
  <w:p w14:paraId="59D9369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9"/>
      <w:tblW w:w="8280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none" w:color="auto" w:sz="0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02"/>
      <w:gridCol w:w="1476"/>
      <w:gridCol w:w="3402"/>
    </w:tblGrid>
    <w:tr w14:paraId="34B9700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6873D567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乐山市人民医院</w:t>
          </w:r>
        </w:p>
      </w:tc>
      <w:tc>
        <w:tcPr>
          <w:tcW w:w="1476" w:type="dxa"/>
          <w:vMerge w:val="restart"/>
          <w:tcBorders>
            <w:top w:val="single" w:color="auto" w:sz="4" w:space="0"/>
          </w:tcBorders>
          <w:vAlign w:val="center"/>
        </w:tcPr>
        <w:p w14:paraId="22AE7840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附件</w:t>
          </w:r>
        </w:p>
      </w:tc>
      <w:tc>
        <w:tcPr>
          <w:tcW w:w="3402" w:type="dxa"/>
        </w:tcPr>
        <w:p w14:paraId="7704046F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编号：PHLS-LW-FJ-009-02</w:t>
          </w:r>
        </w:p>
      </w:tc>
    </w:tr>
    <w:tr w14:paraId="2C14DD5C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2E3562FC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临床试验伦理委员会</w:t>
          </w:r>
        </w:p>
      </w:tc>
      <w:tc>
        <w:tcPr>
          <w:tcW w:w="1476" w:type="dxa"/>
          <w:vMerge w:val="continue"/>
        </w:tcPr>
        <w:p w14:paraId="554CAD36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jc w:val="both"/>
            <w:rPr>
              <w:rFonts w:ascii="宋体"/>
            </w:rPr>
          </w:pPr>
        </w:p>
      </w:tc>
      <w:tc>
        <w:tcPr>
          <w:tcW w:w="3402" w:type="dxa"/>
        </w:tcPr>
        <w:p w14:paraId="02FE6AF6">
          <w:pPr>
            <w:pStyle w:val="7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版次：第2版   第</w:t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eastAsia"/>
            </w:rPr>
            <w:t>次修改</w:t>
          </w:r>
        </w:p>
      </w:tc>
    </w:tr>
  </w:tbl>
  <w:p w14:paraId="495BBDA5">
    <w:pPr>
      <w:pStyle w:val="7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YWVjYTdmMTMxNWRjZTVjNWQxODAzYWM0ZTY0ZTkifQ=="/>
  </w:docVars>
  <w:rsids>
    <w:rsidRoot w:val="00776B9E"/>
    <w:rsid w:val="000008E7"/>
    <w:rsid w:val="00012629"/>
    <w:rsid w:val="0001364A"/>
    <w:rsid w:val="00020ACE"/>
    <w:rsid w:val="000305F1"/>
    <w:rsid w:val="00053FA0"/>
    <w:rsid w:val="00063E62"/>
    <w:rsid w:val="00067695"/>
    <w:rsid w:val="000811BE"/>
    <w:rsid w:val="000A1E1F"/>
    <w:rsid w:val="000A31C9"/>
    <w:rsid w:val="000A692C"/>
    <w:rsid w:val="000D24C4"/>
    <w:rsid w:val="000F11C5"/>
    <w:rsid w:val="00105408"/>
    <w:rsid w:val="0011302F"/>
    <w:rsid w:val="00114926"/>
    <w:rsid w:val="001575F3"/>
    <w:rsid w:val="0018096C"/>
    <w:rsid w:val="001A6E24"/>
    <w:rsid w:val="001C1584"/>
    <w:rsid w:val="001F3188"/>
    <w:rsid w:val="00212FEB"/>
    <w:rsid w:val="00250D46"/>
    <w:rsid w:val="00256C58"/>
    <w:rsid w:val="0028644E"/>
    <w:rsid w:val="00290681"/>
    <w:rsid w:val="002955DD"/>
    <w:rsid w:val="002D6270"/>
    <w:rsid w:val="002D772A"/>
    <w:rsid w:val="002F50AB"/>
    <w:rsid w:val="00311D9C"/>
    <w:rsid w:val="0033414F"/>
    <w:rsid w:val="00347C6C"/>
    <w:rsid w:val="0035636E"/>
    <w:rsid w:val="00362EC5"/>
    <w:rsid w:val="00366639"/>
    <w:rsid w:val="003949F6"/>
    <w:rsid w:val="003A30FF"/>
    <w:rsid w:val="003F02BA"/>
    <w:rsid w:val="003F541E"/>
    <w:rsid w:val="003F60FF"/>
    <w:rsid w:val="004178CA"/>
    <w:rsid w:val="00445612"/>
    <w:rsid w:val="004823B1"/>
    <w:rsid w:val="004911E8"/>
    <w:rsid w:val="004F2BC0"/>
    <w:rsid w:val="00501B02"/>
    <w:rsid w:val="00515117"/>
    <w:rsid w:val="00551849"/>
    <w:rsid w:val="00575212"/>
    <w:rsid w:val="005840DC"/>
    <w:rsid w:val="005A6FE3"/>
    <w:rsid w:val="005B0AC8"/>
    <w:rsid w:val="005D2DB8"/>
    <w:rsid w:val="005D3CBB"/>
    <w:rsid w:val="006026DD"/>
    <w:rsid w:val="00605B4E"/>
    <w:rsid w:val="00616116"/>
    <w:rsid w:val="0063394A"/>
    <w:rsid w:val="0065569F"/>
    <w:rsid w:val="00666453"/>
    <w:rsid w:val="0067021B"/>
    <w:rsid w:val="0068188B"/>
    <w:rsid w:val="0068380B"/>
    <w:rsid w:val="00686FAC"/>
    <w:rsid w:val="00693F05"/>
    <w:rsid w:val="006B2741"/>
    <w:rsid w:val="006B445A"/>
    <w:rsid w:val="006B5CAB"/>
    <w:rsid w:val="006C47E8"/>
    <w:rsid w:val="006D2244"/>
    <w:rsid w:val="006D539D"/>
    <w:rsid w:val="006E01F0"/>
    <w:rsid w:val="006F167F"/>
    <w:rsid w:val="006F220C"/>
    <w:rsid w:val="006F759F"/>
    <w:rsid w:val="007401BC"/>
    <w:rsid w:val="00740A4D"/>
    <w:rsid w:val="00764AC4"/>
    <w:rsid w:val="00765FA6"/>
    <w:rsid w:val="00776B9E"/>
    <w:rsid w:val="00786AC0"/>
    <w:rsid w:val="007951A9"/>
    <w:rsid w:val="007C1D97"/>
    <w:rsid w:val="007C346F"/>
    <w:rsid w:val="007C5989"/>
    <w:rsid w:val="007E4037"/>
    <w:rsid w:val="007F2DC1"/>
    <w:rsid w:val="008075CE"/>
    <w:rsid w:val="00823BA7"/>
    <w:rsid w:val="00824295"/>
    <w:rsid w:val="008545E8"/>
    <w:rsid w:val="00857DB1"/>
    <w:rsid w:val="0088146B"/>
    <w:rsid w:val="0090532B"/>
    <w:rsid w:val="0091294C"/>
    <w:rsid w:val="00940C3C"/>
    <w:rsid w:val="00961986"/>
    <w:rsid w:val="0099014D"/>
    <w:rsid w:val="00990C88"/>
    <w:rsid w:val="009933F8"/>
    <w:rsid w:val="00993D16"/>
    <w:rsid w:val="009B568E"/>
    <w:rsid w:val="009C1743"/>
    <w:rsid w:val="009C260E"/>
    <w:rsid w:val="009D493C"/>
    <w:rsid w:val="009D6466"/>
    <w:rsid w:val="00A004BC"/>
    <w:rsid w:val="00A27D4E"/>
    <w:rsid w:val="00A92334"/>
    <w:rsid w:val="00A96C7E"/>
    <w:rsid w:val="00AA6771"/>
    <w:rsid w:val="00AB3E5F"/>
    <w:rsid w:val="00AC4084"/>
    <w:rsid w:val="00AC4B6C"/>
    <w:rsid w:val="00AC7CA4"/>
    <w:rsid w:val="00AF0730"/>
    <w:rsid w:val="00AF4341"/>
    <w:rsid w:val="00B153F9"/>
    <w:rsid w:val="00B21ABB"/>
    <w:rsid w:val="00BC3D42"/>
    <w:rsid w:val="00BE4784"/>
    <w:rsid w:val="00BF1351"/>
    <w:rsid w:val="00C014F6"/>
    <w:rsid w:val="00C2778C"/>
    <w:rsid w:val="00C371F1"/>
    <w:rsid w:val="00C4470E"/>
    <w:rsid w:val="00C50179"/>
    <w:rsid w:val="00C648D7"/>
    <w:rsid w:val="00C6515E"/>
    <w:rsid w:val="00C708CD"/>
    <w:rsid w:val="00C96E14"/>
    <w:rsid w:val="00CB5725"/>
    <w:rsid w:val="00CD5BDA"/>
    <w:rsid w:val="00CF3A96"/>
    <w:rsid w:val="00D035D5"/>
    <w:rsid w:val="00D13181"/>
    <w:rsid w:val="00D213D7"/>
    <w:rsid w:val="00D22CE2"/>
    <w:rsid w:val="00D24E3B"/>
    <w:rsid w:val="00D549DE"/>
    <w:rsid w:val="00D56064"/>
    <w:rsid w:val="00D667DB"/>
    <w:rsid w:val="00D747BA"/>
    <w:rsid w:val="00DA32C7"/>
    <w:rsid w:val="00DB2426"/>
    <w:rsid w:val="00DF4F9E"/>
    <w:rsid w:val="00E251A5"/>
    <w:rsid w:val="00E326E6"/>
    <w:rsid w:val="00E4172F"/>
    <w:rsid w:val="00E5502D"/>
    <w:rsid w:val="00E56788"/>
    <w:rsid w:val="00E64406"/>
    <w:rsid w:val="00E96C9B"/>
    <w:rsid w:val="00EA18A9"/>
    <w:rsid w:val="00ED01CE"/>
    <w:rsid w:val="00ED12FC"/>
    <w:rsid w:val="00ED295C"/>
    <w:rsid w:val="00ED7EBC"/>
    <w:rsid w:val="00EF1573"/>
    <w:rsid w:val="00F20529"/>
    <w:rsid w:val="00F25E04"/>
    <w:rsid w:val="00F26636"/>
    <w:rsid w:val="00F329C5"/>
    <w:rsid w:val="00F343C9"/>
    <w:rsid w:val="00F451AB"/>
    <w:rsid w:val="00F736DC"/>
    <w:rsid w:val="00F81867"/>
    <w:rsid w:val="00FB03EF"/>
    <w:rsid w:val="00FB24D1"/>
    <w:rsid w:val="00FD1C91"/>
    <w:rsid w:val="00FD5E43"/>
    <w:rsid w:val="00FE37FE"/>
    <w:rsid w:val="00FE3E07"/>
    <w:rsid w:val="00FE67C6"/>
    <w:rsid w:val="00FE6E92"/>
    <w:rsid w:val="00FF4366"/>
    <w:rsid w:val="095D4272"/>
    <w:rsid w:val="22B8541E"/>
    <w:rsid w:val="468951C1"/>
    <w:rsid w:val="4D764404"/>
    <w:rsid w:val="4F304531"/>
    <w:rsid w:val="56DC2048"/>
    <w:rsid w:val="5C150BB3"/>
    <w:rsid w:val="69880795"/>
    <w:rsid w:val="736331F8"/>
    <w:rsid w:val="7E83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9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semiHidden/>
    <w:unhideWhenUsed/>
    <w:uiPriority w:val="99"/>
    <w:pPr>
      <w:jc w:val="left"/>
    </w:pPr>
  </w:style>
  <w:style w:type="paragraph" w:styleId="4">
    <w:name w:val="Body Text Indent"/>
    <w:basedOn w:val="1"/>
    <w:link w:val="20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Table Paragraph"/>
    <w:basedOn w:val="1"/>
    <w:qFormat/>
    <w:uiPriority w:val="1"/>
    <w:rPr>
      <w:rFonts w:ascii="黑体" w:hAnsi="黑体" w:eastAsia="黑体" w:cs="黑体"/>
      <w:lang w:val="fr-FR" w:eastAsia="fr-FR" w:bidi="fr-FR"/>
    </w:rPr>
  </w:style>
  <w:style w:type="character" w:customStyle="1" w:styleId="14">
    <w:name w:val="页眉 Char"/>
    <w:basedOn w:val="10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框文本 Char"/>
    <w:basedOn w:val="10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No Spacing"/>
    <w:link w:val="18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8">
    <w:name w:val="无间隔 Char"/>
    <w:basedOn w:val="10"/>
    <w:link w:val="17"/>
    <w:qFormat/>
    <w:uiPriority w:val="1"/>
    <w:rPr>
      <w:kern w:val="0"/>
      <w:sz w:val="22"/>
    </w:rPr>
  </w:style>
  <w:style w:type="character" w:customStyle="1" w:styleId="19">
    <w:name w:val="标题 2 Char"/>
    <w:basedOn w:val="10"/>
    <w:link w:val="2"/>
    <w:qFormat/>
    <w:uiPriority w:val="0"/>
    <w:rPr>
      <w:rFonts w:ascii="Times New Roman" w:hAnsi="Times New Roman" w:eastAsia="宋体" w:cs="Times New Roman"/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正文文本缩进 Char"/>
    <w:basedOn w:val="10"/>
    <w:link w:val="4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21">
    <w:name w:val="批注文字 Char"/>
    <w:basedOn w:val="10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2">
    <w:name w:val="批注主题 Char"/>
    <w:basedOn w:val="21"/>
    <w:link w:val="8"/>
    <w:semiHidden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5F64B-82BE-4F9E-8C97-3C0626954F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Pe8.net</Company>
  <Pages>2</Pages>
  <Words>506</Words>
  <Characters>506</Characters>
  <Lines>3</Lines>
  <Paragraphs>1</Paragraphs>
  <TotalTime>0</TotalTime>
  <ScaleCrop>false</ScaleCrop>
  <LinksUpToDate>false</LinksUpToDate>
  <CharactersWithSpaces>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2022-09-28T02:27:00Z</dcterms:created>
  <dc:creator>MM</dc:creator>
  <cp:lastModifiedBy>WPS_1529213048</cp:lastModifiedBy>
  <dcterms:modified xsi:type="dcterms:W3CDTF">2026-03-16T02:01:37Z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1CA54250A2964B04B0FAA102D80517E8</vt:lpwstr>
  </property>
  <property fmtid="{D5CDD505-2E9C-101B-9397-08002B2CF9AE}" pid="4" name="KSOTemplateDocerSaveRecord">
    <vt:lpwstr>eyJoZGlkIjoiNDM5NjIwZWYxYjFhNmUxMzIyYjQ1NGIxMDE1OTI4NmUiLCJ1c2VySWQiOiIzNzg5NDUxNjcifQ==</vt:lpwstr>
  </property>
</Properties>
</file>